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FB66" w14:textId="2D969BEB" w:rsidR="005C508E" w:rsidRPr="005C508E" w:rsidRDefault="00C333BE" w:rsidP="00061B54">
      <w:pPr>
        <w:jc w:val="center"/>
      </w:pPr>
      <w:r>
        <w:rPr>
          <w:b/>
          <w:bCs/>
        </w:rPr>
        <w:br/>
      </w:r>
      <w:r w:rsidR="005C508E" w:rsidRPr="005C508E">
        <w:rPr>
          <w:b/>
          <w:bCs/>
        </w:rPr>
        <w:t xml:space="preserve">SAMPLE LETTER FROM </w:t>
      </w:r>
      <w:r w:rsidR="002B6CE5">
        <w:rPr>
          <w:b/>
          <w:bCs/>
        </w:rPr>
        <w:t>COMPLAINANT</w:t>
      </w:r>
      <w:r w:rsidR="005C508E" w:rsidRPr="005C508E">
        <w:rPr>
          <w:b/>
          <w:bCs/>
        </w:rPr>
        <w:t xml:space="preserve"> TO </w:t>
      </w:r>
      <w:r w:rsidR="002B6CE5">
        <w:rPr>
          <w:b/>
          <w:bCs/>
        </w:rPr>
        <w:t>NON-COMPLIANT ENTITY</w:t>
      </w:r>
      <w:r w:rsidR="00061B54">
        <w:rPr>
          <w:b/>
          <w:bCs/>
        </w:rPr>
        <w:t xml:space="preserve"> RE: OPERATING RULE CONFORMANCE</w:t>
      </w:r>
      <w:r w:rsidR="005C508E" w:rsidRPr="005C508E">
        <w:rPr>
          <w:b/>
          <w:bCs/>
        </w:rPr>
        <w:t xml:space="preserve"> </w:t>
      </w:r>
    </w:p>
    <w:p w14:paraId="34AF556B" w14:textId="77777777" w:rsidR="005C508E" w:rsidRPr="005C508E" w:rsidRDefault="005C508E" w:rsidP="005C508E">
      <w:r w:rsidRPr="005C508E">
        <w:rPr>
          <w:i/>
          <w:iCs/>
        </w:rPr>
        <w:t>&lt;</w:t>
      </w:r>
      <w:r w:rsidRPr="005C508E">
        <w:rPr>
          <w:i/>
          <w:iCs/>
          <w:highlight w:val="yellow"/>
        </w:rPr>
        <w:t>date</w:t>
      </w:r>
      <w:r w:rsidRPr="005C508E">
        <w:rPr>
          <w:i/>
          <w:iCs/>
        </w:rPr>
        <w:t xml:space="preserve">&gt; </w:t>
      </w:r>
    </w:p>
    <w:p w14:paraId="456CA9C9" w14:textId="49916ED4" w:rsidR="005C508E" w:rsidRPr="005C508E" w:rsidRDefault="005C508E" w:rsidP="009A362D">
      <w:pPr>
        <w:spacing w:after="0" w:line="240" w:lineRule="auto"/>
      </w:pPr>
      <w:r w:rsidRPr="005C508E">
        <w:t xml:space="preserve">&lt; </w:t>
      </w:r>
      <w:r w:rsidRPr="005C508E">
        <w:rPr>
          <w:i/>
          <w:iCs/>
          <w:highlight w:val="yellow"/>
        </w:rPr>
        <w:t xml:space="preserve">key contacts </w:t>
      </w:r>
      <w:r w:rsidR="0005677F">
        <w:rPr>
          <w:i/>
          <w:iCs/>
          <w:highlight w:val="yellow"/>
        </w:rPr>
        <w:t>for Non-Compliant E</w:t>
      </w:r>
      <w:r w:rsidR="002B6CE5">
        <w:rPr>
          <w:i/>
          <w:iCs/>
          <w:highlight w:val="yellow"/>
        </w:rPr>
        <w:t>ntity</w:t>
      </w:r>
      <w:r w:rsidRPr="005C508E">
        <w:rPr>
          <w:i/>
          <w:iCs/>
        </w:rPr>
        <w:t xml:space="preserve">&gt; </w:t>
      </w:r>
    </w:p>
    <w:p w14:paraId="74BA5B88" w14:textId="77777777" w:rsidR="005C508E" w:rsidRPr="005C508E" w:rsidRDefault="005C508E" w:rsidP="009A362D">
      <w:pPr>
        <w:spacing w:after="0" w:line="240" w:lineRule="auto"/>
      </w:pPr>
      <w:r w:rsidRPr="005C508E">
        <w:rPr>
          <w:i/>
          <w:iCs/>
        </w:rPr>
        <w:t>&lt;</w:t>
      </w:r>
      <w:r w:rsidRPr="005C508E">
        <w:rPr>
          <w:i/>
          <w:iCs/>
          <w:highlight w:val="yellow"/>
        </w:rPr>
        <w:t>key contacts job title</w:t>
      </w:r>
      <w:r w:rsidRPr="005C508E">
        <w:rPr>
          <w:i/>
          <w:iCs/>
        </w:rPr>
        <w:t xml:space="preserve">&gt; </w:t>
      </w:r>
    </w:p>
    <w:p w14:paraId="2C56769B" w14:textId="6B55A470" w:rsidR="005C508E" w:rsidRDefault="005C508E" w:rsidP="009A362D">
      <w:pPr>
        <w:spacing w:after="0" w:line="240" w:lineRule="auto"/>
        <w:rPr>
          <w:i/>
          <w:iCs/>
        </w:rPr>
      </w:pPr>
      <w:r w:rsidRPr="005C508E">
        <w:rPr>
          <w:i/>
          <w:iCs/>
        </w:rPr>
        <w:t>&lt;</w:t>
      </w:r>
      <w:r w:rsidR="002B6CE5">
        <w:rPr>
          <w:i/>
          <w:iCs/>
          <w:highlight w:val="yellow"/>
        </w:rPr>
        <w:t>Non-Compliant Entity</w:t>
      </w:r>
      <w:r w:rsidRPr="005C508E">
        <w:rPr>
          <w:i/>
          <w:iCs/>
          <w:highlight w:val="yellow"/>
        </w:rPr>
        <w:t xml:space="preserve"> name</w:t>
      </w:r>
      <w:r w:rsidRPr="005C508E">
        <w:rPr>
          <w:i/>
          <w:iCs/>
        </w:rPr>
        <w:t xml:space="preserve">&gt; </w:t>
      </w:r>
    </w:p>
    <w:p w14:paraId="0C10D813" w14:textId="77777777" w:rsidR="000106D5" w:rsidRPr="005C508E" w:rsidRDefault="000106D5" w:rsidP="009A362D">
      <w:pPr>
        <w:spacing w:after="0" w:line="240" w:lineRule="auto"/>
      </w:pPr>
    </w:p>
    <w:p w14:paraId="7D3E1A7B" w14:textId="2012D83C" w:rsidR="005C508E" w:rsidRPr="005C508E" w:rsidRDefault="005C508E" w:rsidP="009A362D">
      <w:pPr>
        <w:spacing w:line="240" w:lineRule="auto"/>
      </w:pPr>
      <w:r w:rsidRPr="005C508E">
        <w:rPr>
          <w:b/>
          <w:bCs/>
        </w:rPr>
        <w:t xml:space="preserve">Re: </w:t>
      </w:r>
      <w:r w:rsidR="00061B54">
        <w:t>CAQH CORE</w:t>
      </w:r>
      <w:r w:rsidR="001E4CB4">
        <w:t xml:space="preserve"> </w:t>
      </w:r>
      <w:r w:rsidR="00061B54">
        <w:t>Operating Rule Conformance</w:t>
      </w:r>
    </w:p>
    <w:p w14:paraId="528AC8C2" w14:textId="3A87253B" w:rsidR="005C508E" w:rsidRPr="005C508E" w:rsidRDefault="005C508E" w:rsidP="005C508E">
      <w:r w:rsidRPr="005C508E">
        <w:t>Dear &lt;</w:t>
      </w:r>
      <w:r w:rsidRPr="009A362D">
        <w:rPr>
          <w:i/>
          <w:iCs/>
          <w:highlight w:val="yellow"/>
        </w:rPr>
        <w:t>key contact</w:t>
      </w:r>
      <w:r w:rsidR="00061B54">
        <w:rPr>
          <w:i/>
          <w:iCs/>
          <w:highlight w:val="yellow"/>
        </w:rPr>
        <w:t>(</w:t>
      </w:r>
      <w:r w:rsidRPr="009A362D">
        <w:rPr>
          <w:i/>
          <w:iCs/>
          <w:highlight w:val="yellow"/>
        </w:rPr>
        <w:t>s</w:t>
      </w:r>
      <w:r w:rsidR="00061B54">
        <w:rPr>
          <w:i/>
          <w:iCs/>
          <w:highlight w:val="yellow"/>
        </w:rPr>
        <w:t>)</w:t>
      </w:r>
      <w:r w:rsidRPr="009A362D">
        <w:rPr>
          <w:i/>
          <w:iCs/>
          <w:highlight w:val="yellow"/>
        </w:rPr>
        <w:t xml:space="preserve"> </w:t>
      </w:r>
      <w:r w:rsidR="002B6CE5">
        <w:rPr>
          <w:i/>
          <w:iCs/>
          <w:highlight w:val="yellow"/>
        </w:rPr>
        <w:t>representing Non-Compliant Entity</w:t>
      </w:r>
      <w:r w:rsidRPr="005C508E">
        <w:rPr>
          <w:i/>
          <w:iCs/>
        </w:rPr>
        <w:t>&gt;</w:t>
      </w:r>
      <w:r w:rsidRPr="005C508E">
        <w:t xml:space="preserve">, </w:t>
      </w:r>
    </w:p>
    <w:p w14:paraId="23A7AE82" w14:textId="6DAC25CB" w:rsidR="00E81423" w:rsidRDefault="001E4CB4" w:rsidP="00E81423">
      <w:pPr>
        <w:spacing w:line="240" w:lineRule="auto"/>
      </w:pPr>
      <w:r>
        <w:t>The</w:t>
      </w:r>
      <w:r w:rsidR="00061B54">
        <w:t xml:space="preserve"> purpose of this communication is to </w:t>
      </w:r>
      <w:r w:rsidR="00E81423">
        <w:t>inform you that &lt;</w:t>
      </w:r>
      <w:r w:rsidR="00E81423" w:rsidRPr="009A362D">
        <w:rPr>
          <w:i/>
          <w:highlight w:val="yellow"/>
        </w:rPr>
        <w:t xml:space="preserve">Name of </w:t>
      </w:r>
      <w:r w:rsidR="002B6CE5">
        <w:rPr>
          <w:i/>
          <w:highlight w:val="yellow"/>
        </w:rPr>
        <w:t>Complainant</w:t>
      </w:r>
      <w:r w:rsidR="00E81423" w:rsidRPr="009A362D">
        <w:rPr>
          <w:i/>
          <w:highlight w:val="yellow"/>
        </w:rPr>
        <w:t xml:space="preserve"> Organization</w:t>
      </w:r>
      <w:r w:rsidR="00E81423">
        <w:rPr>
          <w:i/>
        </w:rPr>
        <w:t xml:space="preserve">&gt; </w:t>
      </w:r>
      <w:r w:rsidR="00E81423">
        <w:t xml:space="preserve">is not receiving </w:t>
      </w:r>
      <w:r w:rsidR="00E16C77">
        <w:t>&lt;</w:t>
      </w:r>
      <w:r w:rsidR="00E16C77" w:rsidRPr="009A362D">
        <w:rPr>
          <w:i/>
          <w:highlight w:val="yellow"/>
        </w:rPr>
        <w:t>eligibility, claim status, EFT, ERA, prior authorization and/or claim</w:t>
      </w:r>
      <w:r w:rsidR="00E16C77">
        <w:t>&gt; transactions</w:t>
      </w:r>
      <w:r w:rsidR="00E81423">
        <w:t xml:space="preserve"> per guidelines established by the </w:t>
      </w:r>
      <w:proofErr w:type="gramStart"/>
      <w:r w:rsidR="00E81423">
        <w:t>federally-recognized</w:t>
      </w:r>
      <w:proofErr w:type="gramEnd"/>
      <w:r w:rsidR="00E81423">
        <w:t xml:space="preserve"> CAQH CORE Operating Rules</w:t>
      </w:r>
      <w:r w:rsidR="00E16C77">
        <w:t>.</w:t>
      </w:r>
      <w:r w:rsidR="00E81423">
        <w:t xml:space="preserve"> The CAQH CORE Operating Rules build on the </w:t>
      </w:r>
      <w:hyperlink r:id="rId10" w:history="1">
        <w:r w:rsidR="00E81423" w:rsidRPr="00C333BE">
          <w:rPr>
            <w:rFonts w:ascii="Calibri" w:eastAsia="Calibri" w:hAnsi="Calibri" w:cs="Times New Roman"/>
            <w:b/>
            <w:bCs/>
            <w:color w:val="8490FF"/>
            <w:u w:val="single"/>
          </w:rPr>
          <w:t>HIPAA-mandated healthcare administrative transactions</w:t>
        </w:r>
      </w:hyperlink>
      <w:r w:rsidR="00E81423" w:rsidRPr="00B02CFE">
        <w:rPr>
          <w:rFonts w:ascii="Calibri" w:eastAsia="Calibri" w:hAnsi="Calibri" w:cs="Times New Roman"/>
          <w:shd w:val="clear" w:color="auto" w:fill="FFFFFF"/>
        </w:rPr>
        <w:t>.</w:t>
      </w:r>
      <w:r w:rsidR="00E81423">
        <w:t xml:space="preserve"> </w:t>
      </w:r>
    </w:p>
    <w:p w14:paraId="2FB891C3" w14:textId="14733E9B" w:rsidR="00AA421D" w:rsidRDefault="00E81423" w:rsidP="009A362D">
      <w:pPr>
        <w:spacing w:line="240" w:lineRule="auto"/>
      </w:pPr>
      <w:r>
        <w:t>As &lt;</w:t>
      </w:r>
      <w:r w:rsidR="0005677F">
        <w:rPr>
          <w:highlight w:val="yellow"/>
        </w:rPr>
        <w:t>Non-Compliant Entity</w:t>
      </w:r>
      <w:r w:rsidRPr="009A362D">
        <w:rPr>
          <w:highlight w:val="yellow"/>
        </w:rPr>
        <w:t xml:space="preserve"> name</w:t>
      </w:r>
      <w:r>
        <w:t xml:space="preserve">&gt; is </w:t>
      </w:r>
      <w:hyperlink r:id="rId11" w:history="1">
        <w:r w:rsidRPr="00C333BE">
          <w:rPr>
            <w:rStyle w:val="Hyperlink"/>
            <w:b/>
            <w:bCs/>
            <w:color w:val="8490FF"/>
          </w:rPr>
          <w:t>CORE-certified</w:t>
        </w:r>
      </w:hyperlink>
      <w:r>
        <w:t xml:space="preserve"> on &lt;</w:t>
      </w:r>
      <w:r w:rsidR="0043144F" w:rsidRPr="0043144F">
        <w:rPr>
          <w:i/>
          <w:highlight w:val="yellow"/>
        </w:rPr>
        <w:t xml:space="preserve"> </w:t>
      </w:r>
      <w:r w:rsidR="0043144F">
        <w:rPr>
          <w:i/>
          <w:highlight w:val="yellow"/>
        </w:rPr>
        <w:t>Eligibility &amp; Benefits, Claim Status, Payment &amp; Remittance, Healthcare Claims, Premium Payment, Benefit Enrollment, and/or Prior Authorization &amp; Referrals</w:t>
      </w:r>
      <w:r w:rsidR="0043144F" w:rsidRPr="009A362D" w:rsidDel="0043144F">
        <w:rPr>
          <w:i/>
          <w:highlight w:val="yellow"/>
        </w:rPr>
        <w:t xml:space="preserve"> </w:t>
      </w:r>
      <w:r>
        <w:rPr>
          <w:i/>
        </w:rPr>
        <w:t xml:space="preserve">&gt; </w:t>
      </w:r>
      <w:r>
        <w:t xml:space="preserve">we </w:t>
      </w:r>
      <w:r w:rsidR="007A723F">
        <w:t xml:space="preserve">expect </w:t>
      </w:r>
      <w:r>
        <w:t xml:space="preserve">effective and efficient </w:t>
      </w:r>
      <w:r w:rsidR="0043144F">
        <w:t>data exchange</w:t>
      </w:r>
      <w:r>
        <w:t xml:space="preserve"> from your </w:t>
      </w:r>
      <w:r w:rsidR="00AA421D">
        <w:t>organization. We</w:t>
      </w:r>
      <w:r>
        <w:t xml:space="preserve"> value the efficiencies provided by the operating rules </w:t>
      </w:r>
      <w:r w:rsidR="00AA421D">
        <w:t xml:space="preserve">as </w:t>
      </w:r>
      <w:r>
        <w:t>they save us time and money and help to evolve our workflows.</w:t>
      </w:r>
    </w:p>
    <w:p w14:paraId="3D4DC646" w14:textId="65889DEB" w:rsidR="007A723F" w:rsidRDefault="00AA421D" w:rsidP="009A362D">
      <w:pPr>
        <w:spacing w:line="240" w:lineRule="auto"/>
      </w:pPr>
      <w:r>
        <w:t xml:space="preserve">As you know, CAQH CORE has an enforcement policy to help ensure organizations like us receive and maximize benefits </w:t>
      </w:r>
      <w:r w:rsidR="007A723F">
        <w:t>provided by the</w:t>
      </w:r>
      <w:r>
        <w:t xml:space="preserve"> operating rules from CORE-certified trading partners. </w:t>
      </w:r>
      <w:r w:rsidR="007A723F">
        <w:t xml:space="preserve">The enforcement policy acts as a mechanism for the industry to self-police and self-enforce instances of non-compliance. </w:t>
      </w:r>
      <w:r>
        <w:t xml:space="preserve">Further, the enforcement policy encourages </w:t>
      </w:r>
      <w:r w:rsidR="007A723F">
        <w:t xml:space="preserve">the use of a progressive approach to address and resolve issues of non-compliance. </w:t>
      </w:r>
    </w:p>
    <w:p w14:paraId="3955A904" w14:textId="367094C6" w:rsidR="009A362D" w:rsidRDefault="00670864" w:rsidP="009A362D">
      <w:pPr>
        <w:spacing w:line="240" w:lineRule="auto"/>
      </w:pPr>
      <w:r>
        <w:t xml:space="preserve">As a </w:t>
      </w:r>
      <w:r w:rsidR="007A723F">
        <w:t>first step</w:t>
      </w:r>
      <w:r>
        <w:t>,</w:t>
      </w:r>
      <w:r w:rsidR="007A723F">
        <w:t xml:space="preserve"> we would like to work with &lt;</w:t>
      </w:r>
      <w:r w:rsidR="0005677F">
        <w:rPr>
          <w:i/>
          <w:highlight w:val="yellow"/>
        </w:rPr>
        <w:t>Non-Compliant Entity</w:t>
      </w:r>
      <w:r w:rsidR="007A723F" w:rsidRPr="009A362D">
        <w:rPr>
          <w:i/>
          <w:highlight w:val="yellow"/>
        </w:rPr>
        <w:t xml:space="preserve"> name</w:t>
      </w:r>
      <w:r w:rsidR="007A723F">
        <w:t>&gt; to see if we can privately</w:t>
      </w:r>
      <w:r>
        <w:t xml:space="preserve"> discuss and</w:t>
      </w:r>
      <w:r w:rsidR="007A723F">
        <w:t xml:space="preserve"> resolve our areas of concern. </w:t>
      </w:r>
      <w:r w:rsidR="00555741">
        <w:t xml:space="preserve">Outlined below are areas we have identified </w:t>
      </w:r>
      <w:r w:rsidR="000F720D">
        <w:t>five instances</w:t>
      </w:r>
      <w:r w:rsidR="000A2499">
        <w:t xml:space="preserve"> which we consider </w:t>
      </w:r>
      <w:r w:rsidR="00555741">
        <w:t>to be out of compliance:</w:t>
      </w:r>
    </w:p>
    <w:p w14:paraId="1E1C9161" w14:textId="1E7EDEC5" w:rsidR="00555741" w:rsidRPr="009A362D" w:rsidRDefault="009A362D" w:rsidP="000F720D">
      <w:pPr>
        <w:pStyle w:val="ListParagraph"/>
        <w:numPr>
          <w:ilvl w:val="0"/>
          <w:numId w:val="6"/>
        </w:numPr>
        <w:spacing w:line="240" w:lineRule="auto"/>
      </w:pPr>
      <w:r w:rsidRPr="009A362D">
        <w:rPr>
          <w:i/>
        </w:rPr>
        <w:t>&lt;</w:t>
      </w:r>
      <w:r w:rsidR="00555741" w:rsidRPr="009A362D">
        <w:rPr>
          <w:i/>
          <w:highlight w:val="yellow"/>
        </w:rPr>
        <w:t>CAQH CORE Operating Rule ###: Summary of Issue</w:t>
      </w:r>
      <w:r w:rsidRPr="009A362D">
        <w:rPr>
          <w:i/>
        </w:rPr>
        <w:t>&gt;</w:t>
      </w:r>
    </w:p>
    <w:p w14:paraId="7C68CEA3" w14:textId="77777777" w:rsidR="009A362D" w:rsidRPr="008B67F3" w:rsidRDefault="009A362D" w:rsidP="000F720D">
      <w:pPr>
        <w:pStyle w:val="ListParagraph"/>
        <w:numPr>
          <w:ilvl w:val="0"/>
          <w:numId w:val="6"/>
        </w:numPr>
        <w:spacing w:line="240" w:lineRule="auto"/>
      </w:pPr>
      <w:r w:rsidRPr="008B67F3">
        <w:rPr>
          <w:i/>
        </w:rPr>
        <w:t>&lt;</w:t>
      </w:r>
      <w:r w:rsidRPr="008B67F3">
        <w:rPr>
          <w:i/>
          <w:highlight w:val="yellow"/>
        </w:rPr>
        <w:t>CAQH CORE Operating Rule ###: Summary of Issue</w:t>
      </w:r>
      <w:r w:rsidRPr="008B67F3">
        <w:rPr>
          <w:i/>
        </w:rPr>
        <w:t>&gt;</w:t>
      </w:r>
    </w:p>
    <w:p w14:paraId="5BCC4357" w14:textId="1A592F2F" w:rsidR="009A362D" w:rsidRPr="000F720D" w:rsidRDefault="009A362D" w:rsidP="000F720D">
      <w:pPr>
        <w:pStyle w:val="ListParagraph"/>
        <w:numPr>
          <w:ilvl w:val="0"/>
          <w:numId w:val="6"/>
        </w:numPr>
        <w:spacing w:line="240" w:lineRule="auto"/>
      </w:pPr>
      <w:r w:rsidRPr="008B67F3">
        <w:rPr>
          <w:i/>
        </w:rPr>
        <w:t>&lt;</w:t>
      </w:r>
      <w:r w:rsidRPr="008B67F3">
        <w:rPr>
          <w:i/>
          <w:highlight w:val="yellow"/>
        </w:rPr>
        <w:t>CAQH CORE Operating Rule ###: Summary of Issue</w:t>
      </w:r>
      <w:r w:rsidRPr="008B67F3">
        <w:rPr>
          <w:i/>
        </w:rPr>
        <w:t>&gt;</w:t>
      </w:r>
    </w:p>
    <w:p w14:paraId="690BC78C" w14:textId="77777777" w:rsidR="000A2499" w:rsidRPr="00CA4814" w:rsidRDefault="000A2499" w:rsidP="000A2499">
      <w:pPr>
        <w:pStyle w:val="ListParagraph"/>
        <w:numPr>
          <w:ilvl w:val="0"/>
          <w:numId w:val="6"/>
        </w:numPr>
        <w:spacing w:line="240" w:lineRule="auto"/>
      </w:pPr>
      <w:r w:rsidRPr="008B67F3">
        <w:rPr>
          <w:i/>
        </w:rPr>
        <w:t>&lt;</w:t>
      </w:r>
      <w:r w:rsidRPr="008B67F3">
        <w:rPr>
          <w:i/>
          <w:highlight w:val="yellow"/>
        </w:rPr>
        <w:t>CAQH CORE Operating Rule ###: Summary of Issue</w:t>
      </w:r>
      <w:r w:rsidRPr="008B67F3">
        <w:rPr>
          <w:i/>
        </w:rPr>
        <w:t>&gt;</w:t>
      </w:r>
    </w:p>
    <w:p w14:paraId="6A73D7C4" w14:textId="58BE437A" w:rsidR="000A2499" w:rsidRPr="008B67F3" w:rsidRDefault="000A2499" w:rsidP="000F720D">
      <w:pPr>
        <w:pStyle w:val="ListParagraph"/>
        <w:numPr>
          <w:ilvl w:val="0"/>
          <w:numId w:val="6"/>
        </w:numPr>
        <w:spacing w:line="240" w:lineRule="auto"/>
      </w:pPr>
      <w:r w:rsidRPr="008B67F3">
        <w:rPr>
          <w:i/>
        </w:rPr>
        <w:t>&lt;</w:t>
      </w:r>
      <w:r w:rsidRPr="008B67F3">
        <w:rPr>
          <w:i/>
          <w:highlight w:val="yellow"/>
        </w:rPr>
        <w:t>CAQH CORE Operating Rule ###: Summary of Issue</w:t>
      </w:r>
      <w:r w:rsidRPr="008B67F3">
        <w:rPr>
          <w:i/>
        </w:rPr>
        <w:t>&gt;</w:t>
      </w:r>
    </w:p>
    <w:p w14:paraId="4456FF96" w14:textId="293D3E95" w:rsidR="008B7A19" w:rsidRPr="00D40431" w:rsidRDefault="008B7A19">
      <w:pPr>
        <w:spacing w:after="120" w:line="240" w:lineRule="auto"/>
      </w:pPr>
      <w:r w:rsidRPr="00D40431">
        <w:t xml:space="preserve">Thank you </w:t>
      </w:r>
      <w:r w:rsidR="00670864">
        <w:t xml:space="preserve">for your cooperation. </w:t>
      </w:r>
      <w:r w:rsidRPr="00D40431">
        <w:t>If you should have any questions, please contact &lt;</w:t>
      </w:r>
      <w:r w:rsidRPr="00D40431">
        <w:rPr>
          <w:i/>
          <w:highlight w:val="yellow"/>
        </w:rPr>
        <w:t xml:space="preserve">key contact at </w:t>
      </w:r>
      <w:r w:rsidR="0005677F">
        <w:rPr>
          <w:i/>
          <w:highlight w:val="yellow"/>
        </w:rPr>
        <w:t>complainant</w:t>
      </w:r>
      <w:r w:rsidRPr="00D40431">
        <w:rPr>
          <w:i/>
          <w:highlight w:val="yellow"/>
        </w:rPr>
        <w:t xml:space="preserve"> organization</w:t>
      </w:r>
      <w:r w:rsidRPr="00D40431">
        <w:t>&gt; at</w:t>
      </w:r>
      <w:r w:rsidR="009A362D">
        <w:t>&lt;</w:t>
      </w:r>
      <w:r w:rsidRPr="00D40431">
        <w:t xml:space="preserve"> </w:t>
      </w:r>
      <w:r w:rsidRPr="00D40431">
        <w:rPr>
          <w:highlight w:val="yellow"/>
        </w:rPr>
        <w:t>XXX-XXX-XXXX</w:t>
      </w:r>
      <w:r w:rsidR="009A362D">
        <w:t>&gt;</w:t>
      </w:r>
      <w:r w:rsidRPr="00D40431">
        <w:t xml:space="preserve"> </w:t>
      </w:r>
      <w:r w:rsidRPr="009A362D">
        <w:t xml:space="preserve">or </w:t>
      </w:r>
      <w:r w:rsidR="009A362D" w:rsidRPr="009A362D">
        <w:t>&lt;</w:t>
      </w:r>
      <w:r w:rsidRPr="00D40431">
        <w:rPr>
          <w:highlight w:val="yellow"/>
        </w:rPr>
        <w:t>X@X.com</w:t>
      </w:r>
      <w:r w:rsidR="009A362D">
        <w:t>&gt;</w:t>
      </w:r>
      <w:r w:rsidRPr="00D40431">
        <w:t>. If we do not receive a response, we will follow-up on this &lt;</w:t>
      </w:r>
      <w:r w:rsidRPr="00D40431">
        <w:rPr>
          <w:i/>
          <w:highlight w:val="yellow"/>
        </w:rPr>
        <w:t>email/letter</w:t>
      </w:r>
      <w:r w:rsidRPr="00D40431">
        <w:t xml:space="preserve">&gt; via phone in one week. </w:t>
      </w:r>
    </w:p>
    <w:p w14:paraId="5897EBF1" w14:textId="77777777" w:rsidR="008B7A19" w:rsidRPr="00D40431" w:rsidRDefault="008B7A19" w:rsidP="008B7A19">
      <w:pPr>
        <w:spacing w:after="120" w:line="240" w:lineRule="auto"/>
      </w:pPr>
      <w:r w:rsidRPr="00D40431">
        <w:t>Sincerely,</w:t>
      </w:r>
    </w:p>
    <w:p w14:paraId="57435D35" w14:textId="77777777" w:rsidR="008B7A19" w:rsidRPr="00D40431" w:rsidRDefault="008B7A19" w:rsidP="008B7A19">
      <w:pPr>
        <w:spacing w:after="0" w:line="240" w:lineRule="auto"/>
        <w:rPr>
          <w:i/>
        </w:rPr>
      </w:pPr>
      <w:r w:rsidRPr="00D40431">
        <w:rPr>
          <w:i/>
        </w:rPr>
        <w:t>&lt;</w:t>
      </w:r>
      <w:r w:rsidRPr="00D40431">
        <w:rPr>
          <w:i/>
          <w:highlight w:val="yellow"/>
        </w:rPr>
        <w:t>your name</w:t>
      </w:r>
      <w:r w:rsidRPr="00D40431">
        <w:rPr>
          <w:i/>
        </w:rPr>
        <w:t>&gt;</w:t>
      </w:r>
    </w:p>
    <w:p w14:paraId="4E5BA03B" w14:textId="77777777" w:rsidR="008B7A19" w:rsidRPr="00D40431" w:rsidRDefault="008B7A19" w:rsidP="008B7A19">
      <w:pPr>
        <w:spacing w:after="0" w:line="240" w:lineRule="auto"/>
        <w:rPr>
          <w:i/>
        </w:rPr>
      </w:pPr>
      <w:r w:rsidRPr="00D40431">
        <w:rPr>
          <w:i/>
        </w:rPr>
        <w:t>&lt;</w:t>
      </w:r>
      <w:r w:rsidRPr="00D40431">
        <w:rPr>
          <w:i/>
          <w:highlight w:val="yellow"/>
        </w:rPr>
        <w:t>your job title</w:t>
      </w:r>
      <w:r w:rsidRPr="00D40431">
        <w:rPr>
          <w:i/>
        </w:rPr>
        <w:t>&gt;</w:t>
      </w:r>
    </w:p>
    <w:p w14:paraId="2C1ED971" w14:textId="0D347678" w:rsidR="008B7A19" w:rsidRPr="00D40431" w:rsidRDefault="008B7A19" w:rsidP="008B7A19">
      <w:pPr>
        <w:spacing w:after="0" w:line="240" w:lineRule="auto"/>
        <w:rPr>
          <w:i/>
        </w:rPr>
      </w:pPr>
      <w:r w:rsidRPr="00D40431">
        <w:rPr>
          <w:i/>
        </w:rPr>
        <w:t>&lt;</w:t>
      </w:r>
      <w:r w:rsidRPr="00D40431">
        <w:rPr>
          <w:i/>
          <w:highlight w:val="yellow"/>
        </w:rPr>
        <w:t xml:space="preserve">name of </w:t>
      </w:r>
      <w:r w:rsidR="0005677F">
        <w:rPr>
          <w:i/>
          <w:highlight w:val="yellow"/>
        </w:rPr>
        <w:t>complainant</w:t>
      </w:r>
      <w:r w:rsidRPr="00D40431">
        <w:rPr>
          <w:i/>
          <w:highlight w:val="yellow"/>
        </w:rPr>
        <w:t xml:space="preserve"> organization</w:t>
      </w:r>
      <w:r w:rsidRPr="00D40431">
        <w:rPr>
          <w:i/>
        </w:rPr>
        <w:t>&gt;</w:t>
      </w:r>
    </w:p>
    <w:p w14:paraId="3ABFD16A" w14:textId="39B23A75" w:rsidR="005C508E" w:rsidRDefault="008B7A19" w:rsidP="005C508E">
      <w:r w:rsidRPr="00D40431">
        <w:rPr>
          <w:i/>
        </w:rPr>
        <w:t>&lt;</w:t>
      </w:r>
      <w:r w:rsidRPr="00D40431">
        <w:rPr>
          <w:i/>
          <w:highlight w:val="yellow"/>
        </w:rPr>
        <w:t>your phone number</w:t>
      </w:r>
      <w:r w:rsidRPr="00D40431">
        <w:rPr>
          <w:i/>
        </w:rPr>
        <w:t>&gt;</w:t>
      </w:r>
    </w:p>
    <w:sectPr w:rsidR="005C508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952E3" w14:textId="77777777" w:rsidR="002C2ACD" w:rsidRDefault="002C2ACD" w:rsidP="00D4634D">
      <w:pPr>
        <w:spacing w:after="0" w:line="240" w:lineRule="auto"/>
      </w:pPr>
      <w:r>
        <w:separator/>
      </w:r>
    </w:p>
  </w:endnote>
  <w:endnote w:type="continuationSeparator" w:id="0">
    <w:p w14:paraId="500A7564" w14:textId="77777777" w:rsidR="002C2ACD" w:rsidRDefault="002C2ACD" w:rsidP="00D4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7B965" w14:textId="77777777" w:rsidR="002C2ACD" w:rsidRDefault="002C2ACD" w:rsidP="00D4634D">
      <w:pPr>
        <w:spacing w:after="0" w:line="240" w:lineRule="auto"/>
      </w:pPr>
      <w:r>
        <w:separator/>
      </w:r>
    </w:p>
  </w:footnote>
  <w:footnote w:type="continuationSeparator" w:id="0">
    <w:p w14:paraId="03996BE8" w14:textId="77777777" w:rsidR="002C2ACD" w:rsidRDefault="002C2ACD" w:rsidP="00D46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B1F0" w14:textId="0997A31F" w:rsidR="00D4634D" w:rsidRDefault="00C333BE">
    <w:pPr>
      <w:pStyle w:val="Header"/>
    </w:pPr>
    <w:r>
      <w:rPr>
        <w:noProof/>
      </w:rPr>
      <w:drawing>
        <wp:inline distT="0" distB="0" distL="0" distR="0" wp14:anchorId="1959A086" wp14:editId="4DD798A3">
          <wp:extent cx="1231271" cy="603270"/>
          <wp:effectExtent l="0" t="0" r="0" b="0"/>
          <wp:docPr id="1296805005" name="Picture 1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805005" name="Picture 1" descr="A picture containing font, graphics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597" cy="619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634D">
      <w:rPr>
        <w:noProof/>
      </w:rPr>
      <w:drawing>
        <wp:inline distT="0" distB="0" distL="0" distR="0" wp14:anchorId="76A5BEF3" wp14:editId="5849134F">
          <wp:extent cx="3236595" cy="530225"/>
          <wp:effectExtent l="0" t="0" r="1905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31"/>
                  <a:stretch/>
                </pic:blipFill>
                <pic:spPr bwMode="auto">
                  <a:xfrm>
                    <a:off x="0" y="0"/>
                    <a:ext cx="3237370" cy="5303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14627"/>
    <w:multiLevelType w:val="hybridMultilevel"/>
    <w:tmpl w:val="013A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04BC7"/>
    <w:multiLevelType w:val="hybridMultilevel"/>
    <w:tmpl w:val="BB624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84C42"/>
    <w:multiLevelType w:val="hybridMultilevel"/>
    <w:tmpl w:val="AF525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6AF8"/>
    <w:multiLevelType w:val="hybridMultilevel"/>
    <w:tmpl w:val="1030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C72C8"/>
    <w:multiLevelType w:val="hybridMultilevel"/>
    <w:tmpl w:val="3D8EE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C497A"/>
    <w:multiLevelType w:val="hybridMultilevel"/>
    <w:tmpl w:val="3FC2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138909">
    <w:abstractNumId w:val="4"/>
  </w:num>
  <w:num w:numId="2" w16cid:durableId="841893191">
    <w:abstractNumId w:val="3"/>
  </w:num>
  <w:num w:numId="3" w16cid:durableId="1526213825">
    <w:abstractNumId w:val="2"/>
  </w:num>
  <w:num w:numId="4" w16cid:durableId="1478257017">
    <w:abstractNumId w:val="5"/>
  </w:num>
  <w:num w:numId="5" w16cid:durableId="1069157392">
    <w:abstractNumId w:val="0"/>
  </w:num>
  <w:num w:numId="6" w16cid:durableId="63255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8E"/>
    <w:rsid w:val="000106D5"/>
    <w:rsid w:val="0003340D"/>
    <w:rsid w:val="0005677F"/>
    <w:rsid w:val="00061B54"/>
    <w:rsid w:val="000A2499"/>
    <w:rsid w:val="000B3B01"/>
    <w:rsid w:val="000F720D"/>
    <w:rsid w:val="00152EE9"/>
    <w:rsid w:val="001E4CB4"/>
    <w:rsid w:val="001E7020"/>
    <w:rsid w:val="002132CC"/>
    <w:rsid w:val="00223AAF"/>
    <w:rsid w:val="002B14E2"/>
    <w:rsid w:val="002B6CE5"/>
    <w:rsid w:val="002C2ACD"/>
    <w:rsid w:val="00301DEC"/>
    <w:rsid w:val="00324B5A"/>
    <w:rsid w:val="003D3ECF"/>
    <w:rsid w:val="0043144F"/>
    <w:rsid w:val="00555741"/>
    <w:rsid w:val="005720BB"/>
    <w:rsid w:val="005C508E"/>
    <w:rsid w:val="005F0BD2"/>
    <w:rsid w:val="00613AD6"/>
    <w:rsid w:val="00670864"/>
    <w:rsid w:val="00682EFE"/>
    <w:rsid w:val="006F476F"/>
    <w:rsid w:val="007135E8"/>
    <w:rsid w:val="007A723F"/>
    <w:rsid w:val="008147C9"/>
    <w:rsid w:val="008977FD"/>
    <w:rsid w:val="008B7A19"/>
    <w:rsid w:val="009A362D"/>
    <w:rsid w:val="009B1A28"/>
    <w:rsid w:val="00A564FC"/>
    <w:rsid w:val="00AA421D"/>
    <w:rsid w:val="00AC46EE"/>
    <w:rsid w:val="00AD72F7"/>
    <w:rsid w:val="00AE319A"/>
    <w:rsid w:val="00B02CFE"/>
    <w:rsid w:val="00C333BE"/>
    <w:rsid w:val="00CB0C0E"/>
    <w:rsid w:val="00D06DED"/>
    <w:rsid w:val="00D4634D"/>
    <w:rsid w:val="00DB734A"/>
    <w:rsid w:val="00DE336A"/>
    <w:rsid w:val="00E16C77"/>
    <w:rsid w:val="00E81423"/>
    <w:rsid w:val="00EB0A1D"/>
    <w:rsid w:val="00F17D36"/>
    <w:rsid w:val="00F80452"/>
    <w:rsid w:val="00FD2A36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CA851"/>
  <w15:chartTrackingRefBased/>
  <w15:docId w15:val="{9A363F87-7B8B-467F-BE68-421607DB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0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4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4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3E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34D"/>
  </w:style>
  <w:style w:type="paragraph" w:styleId="Footer">
    <w:name w:val="footer"/>
    <w:basedOn w:val="Normal"/>
    <w:link w:val="FooterChar"/>
    <w:uiPriority w:val="99"/>
    <w:unhideWhenUsed/>
    <w:rsid w:val="00D46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34D"/>
  </w:style>
  <w:style w:type="paragraph" w:styleId="ListParagraph">
    <w:name w:val="List Paragraph"/>
    <w:basedOn w:val="Normal"/>
    <w:uiPriority w:val="34"/>
    <w:qFormat/>
    <w:rsid w:val="0055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qh.org/core/core-certified-organizations-pending-and-current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ms.gov/Regulations-and-Guidance/HIPAA-Administrative-Simplification/TransactionCodeSetsStands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06B1B74AA134B89C2ACD56ACD65BA" ma:contentTypeVersion="15" ma:contentTypeDescription="Create a new document." ma:contentTypeScope="" ma:versionID="153e9a14016dc50cff7bd0eab5437199">
  <xsd:schema xmlns:xsd="http://www.w3.org/2001/XMLSchema" xmlns:xs="http://www.w3.org/2001/XMLSchema" xmlns:p="http://schemas.microsoft.com/office/2006/metadata/properties" xmlns:ns1="http://schemas.microsoft.com/sharepoint/v3" xmlns:ns3="25a6435b-273b-4a5e-a8d9-029aa003c4b3" xmlns:ns4="1f862350-2307-4734-9870-2026fedbdd78" targetNamespace="http://schemas.microsoft.com/office/2006/metadata/properties" ma:root="true" ma:fieldsID="744e9ed87173fd24f83c1928eee915c5" ns1:_="" ns3:_="" ns4:_="">
    <xsd:import namespace="http://schemas.microsoft.com/sharepoint/v3"/>
    <xsd:import namespace="25a6435b-273b-4a5e-a8d9-029aa003c4b3"/>
    <xsd:import namespace="1f862350-2307-4734-9870-2026fedbdd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6435b-273b-4a5e-a8d9-029aa003c4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62350-2307-4734-9870-2026fedbd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581B93-031F-4CC3-88CD-27404F2AB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a6435b-273b-4a5e-a8d9-029aa003c4b3"/>
    <ds:schemaRef ds:uri="1f862350-2307-4734-9870-2026fedbd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A78E2-000E-4CB8-A2D9-80D54BDCA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D359B1-E3EB-4140-96EA-1AB7BFDDD51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CAQH CORE_Enforcement Letter Template_2023</dc:title>
  <dc:subject/>
  <dc:creator>CAQH CORE</dc:creator>
  <cp:keywords/>
  <dc:description/>
  <cp:lastModifiedBy>Arielle Zoeller</cp:lastModifiedBy>
  <cp:revision>3</cp:revision>
  <dcterms:created xsi:type="dcterms:W3CDTF">2023-05-19T16:28:00Z</dcterms:created>
  <dcterms:modified xsi:type="dcterms:W3CDTF">2023-06-23T15:37:00Z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0x010100EB006B1B74AA134B89C2ACD56ACD65BA</vt:lpwstr>
  </property>
</Properties>
</file>